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                             </w:t>
      </w:r>
      <w:r w:rsidRPr="00F9348F">
        <w:rPr>
          <w:rFonts w:ascii="Courier New" w:eastAsia="Times New Roman" w:hAnsi="Courier New" w:cs="Courier New"/>
          <w:noProof/>
          <w:color w:val="000000"/>
          <w:sz w:val="21"/>
          <w:szCs w:val="21"/>
          <w:lang w:val="uk-UA" w:eastAsia="ru-RU"/>
        </w:rPr>
        <w:drawing>
          <wp:inline distT="0" distB="0" distL="0" distR="0" wp14:anchorId="7A247625" wp14:editId="63D568F8">
            <wp:extent cx="572770" cy="763270"/>
            <wp:effectExtent l="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    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0" w:name="o1"/>
      <w:bookmarkEnd w:id="0"/>
      <w:r w:rsidRPr="00F9348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                   КАБІНЕТ МІНІСТРІВ УКРАЇНИ </w:t>
      </w:r>
      <w:r w:rsidRPr="00F9348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" w:name="o2"/>
      <w:bookmarkEnd w:id="1"/>
      <w:r w:rsidRPr="00F9348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                       П О С Т А Н О В А </w:t>
      </w:r>
      <w:r w:rsidRPr="00F9348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                від 8 жовтня 2008 р. N 898 </w:t>
      </w:r>
      <w:r w:rsidRPr="00F9348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                           Київ </w:t>
      </w:r>
      <w:r w:rsidRPr="00F9348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" w:name="o3"/>
      <w:bookmarkEnd w:id="2"/>
      <w:r w:rsidRPr="00F9348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             Про затвердження Технічного регламенту </w:t>
      </w:r>
      <w:r w:rsidRPr="00F9348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        обладнання та захисних систем, призначених </w:t>
      </w:r>
      <w:r w:rsidRPr="00F9348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     для застосування в потенційно вибухонебезпечному </w:t>
      </w:r>
      <w:r w:rsidRPr="00F9348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                        середовищі </w:t>
      </w:r>
      <w:r w:rsidRPr="00F9348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" w:name="o4"/>
      <w:bookmarkEnd w:id="3"/>
      <w:r w:rsidRPr="00F9348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         { Із змінами, внесеними згідно з Постановою КМ </w:t>
      </w:r>
      <w:r w:rsidRPr="00F9348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        N 632 ( </w:t>
      </w:r>
      <w:hyperlink r:id="rId6" w:tgtFrame="_blank" w:history="1">
        <w:r w:rsidRPr="00F9348F">
          <w:rPr>
            <w:rFonts w:ascii="Courier New" w:eastAsia="Times New Roman" w:hAnsi="Courier New" w:cs="Courier New"/>
            <w:i/>
            <w:iCs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632-2013-п</w:t>
        </w:r>
      </w:hyperlink>
      <w:r w:rsidRPr="00F9348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) від 28.08.2013 } </w:t>
      </w:r>
      <w:r w:rsidRPr="00F9348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</w:t>
      </w:r>
      <w:r w:rsidRPr="00F9348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4" w:name="o5"/>
      <w:bookmarkEnd w:id="4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Відповідно до  статті  14  Закону  України  "Про   стандарти,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технічні регламенти та процедури оцінки відповідності" ( </w:t>
      </w:r>
      <w:hyperlink r:id="rId7" w:tgtFrame="_blank" w:history="1">
        <w:r w:rsidRPr="00F9348F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3164-15</w:t>
        </w:r>
      </w:hyperlink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)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Кабінет Міністрів України  </w:t>
      </w:r>
      <w:r w:rsidRPr="00F9348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>п о с т а н о в л я є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: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5" w:name="o6"/>
      <w:bookmarkEnd w:id="5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1. Затвердити  Технічний  регламент  обладнання  та  захисних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систем,     призначених     для    застосування    в    потенційно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вибухонебезпечному  середовищі,  та   план   заходів   щодо   його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запровадження, що додаються.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6" w:name="o7"/>
      <w:bookmarkEnd w:id="6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2. Міністерству      промислової     політики     забезпечити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запровадження затвердженого цією постановою Технічного  регламенту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та контроль за дотриманням його вимог.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7" w:name="o8"/>
      <w:bookmarkEnd w:id="7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Прем'єр-міністр України                           Ю.ТИМОШЕНКО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8" w:name="o9"/>
      <w:bookmarkEnd w:id="8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Інд. 33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9" w:name="o10"/>
      <w:bookmarkEnd w:id="9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                                     ЗАТВЕРДЖЕНО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                             постановою Кабінету Міністрів України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                                   від 8 жовтня 2008 р. N 898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0" w:name="o11"/>
      <w:bookmarkEnd w:id="10"/>
      <w:r w:rsidRPr="00F9348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                      ТЕХНІЧНИЙ РЕГЛАМЕНТ </w:t>
      </w:r>
      <w:r w:rsidRPr="00F9348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        обладнання та захисних систем, призначених </w:t>
      </w:r>
      <w:r w:rsidRPr="00F9348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     для застосування в потенційно вибухонебезпечному </w:t>
      </w:r>
      <w:r w:rsidRPr="00F9348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                        середовищі </w:t>
      </w:r>
      <w:r w:rsidRPr="00F9348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1" w:name="o12"/>
      <w:bookmarkEnd w:id="11"/>
      <w:r w:rsidRPr="00F9348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{ Щодо набрання чинності Технічним регламентом та змін до нього </w:t>
      </w:r>
      <w:r w:rsidRPr="00F9348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див. розділ III Закону N 3164-IV ( 3264-15 ) від 01.12.2005 } </w:t>
      </w:r>
      <w:r w:rsidRPr="00F9348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</w:t>
      </w:r>
      <w:r w:rsidRPr="00F9348F">
        <w:rPr>
          <w:rFonts w:ascii="Courier New" w:eastAsia="Times New Roman" w:hAnsi="Courier New" w:cs="Courier New"/>
          <w:i/>
          <w:i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2" w:name="o13"/>
      <w:bookmarkEnd w:id="12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                    Загальні питання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3" w:name="o14"/>
      <w:bookmarkEnd w:id="13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1. Цей    Технічний    регламент   встановлює   вимоги   щодо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забезпечення безпеки обладнання та  захисних  систем,  призначених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для   застосування  в  потенційно  вибухонебезпечному  середовищі,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проведення процедури оцінки відповідності таким вимогам,  а  також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правила  маркування  і  введення  в обіг зазначеного обладнання та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захисних систем.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4" w:name="o15"/>
      <w:bookmarkEnd w:id="14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  2. Технічний  регламент  розроблений  на   основі   Директиви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94/9/ЄС  Європейського Парламенту і Ради ЄС від 23 березня 1994 р.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щодо обладнання та захисних систем, призначених для застосування в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потенційно вибухонебезпечному середовищі.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5" w:name="o16"/>
      <w:bookmarkEnd w:id="15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3. У  цьому  Технічному  регламенті  наведені  нижче  терміни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вживаються в такому значенні: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6" w:name="o17"/>
      <w:bookmarkEnd w:id="16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агресивна речовина  -  хімічна  речовина,  яка  руйнує   іншу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речовину,   обладнання   та   захисні   системи,   призначені  для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застосування у вибухонебезпечному середовищі;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7" w:name="o18"/>
      <w:bookmarkEnd w:id="17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вибухонебезпечна зона -  простір,  у  якому  вибухонебезпечне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середовище  існує або може утворюватися за наявності природних або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виробничих чинників  у  обсязі,  що  потребує  вжиття  спеціальних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заходів під час монтажу та експлуатації обладнання;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8" w:name="o19"/>
      <w:bookmarkEnd w:id="18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вибухонебезпечне середовище  - хімічно активне середовище,  в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якому може статися вибух;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9" w:name="o20"/>
      <w:bookmarkEnd w:id="19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ех-компоненти - частини обладнання або елементи  конструкцій,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що  не  можуть  самостійно  застосовуватись і потребують прийняття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додаткового рішення щодо їх включення  до  складу  обладнання  або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захисних систем;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0" w:name="o21"/>
      <w:bookmarkEnd w:id="20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застосування за  призначенням  -  застосування  обладнання та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захисних  систем  з  урахуванням  їх  групи,  категорії  та  іншої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інформації,  яку  подає виробник і яка необхідна для їх безпечного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функціонування;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1" w:name="o22"/>
      <w:bookmarkEnd w:id="21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захисні системи,  призначені для  застосування  в  потенційно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вибухонебезпечному   середовищі   (далі   -  захисні  системи),  -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пристрої,  які негайно зупиняють процес вибуху,  що  зароджується,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та/або обмежують простір, у якому може відбутися вибух;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2" w:name="o23"/>
      <w:bookmarkEnd w:id="22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обладнання, призначене    для   застосування   в   потенційно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вибухонебезпечному  середовищі  (далі  -  обладнання),  -  машини,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стаціонарні     або     пересувні     установки     і    пристрої,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контрольно-вимірювальні прилади, системи виявлення і попередження,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які  разом  або  окремо  призначені  для вироблення,  передавання,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зберігання,  вимірювання, контролю і перетворення енергії і можуть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бути  причиною  вибуху  через наявність власних потенційних джерел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займання;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3" w:name="o24"/>
      <w:bookmarkEnd w:id="23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потенційно вибухонебезпечне середовище - середовище,  яке  за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наявності   природних   або   виробничих   чинників   може   стати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вибухонебезпечним;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4" w:name="o25"/>
      <w:bookmarkEnd w:id="24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рівень вибухозахисту    обладнання    -     вибухозахищеність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обладнання за встановлених нормативними документами умов.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5" w:name="o26"/>
      <w:bookmarkEnd w:id="25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Інші терміни  вживаються  у  значенні,  наведеному  в Законах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України "Про стандартизацію" ( </w:t>
      </w:r>
      <w:hyperlink r:id="rId8" w:tgtFrame="_blank" w:history="1">
        <w:r w:rsidRPr="00F9348F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2408-14</w:t>
        </w:r>
      </w:hyperlink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), "Про акредитацію органів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 оцінки  відповідності"  (  </w:t>
      </w:r>
      <w:hyperlink r:id="rId9" w:tgtFrame="_blank" w:history="1">
        <w:r w:rsidRPr="00F9348F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2407-14</w:t>
        </w:r>
      </w:hyperlink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),  "Про стандарти,  технічні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регламенти та процедури оцінки відповідності" (  </w:t>
      </w:r>
      <w:hyperlink r:id="rId10" w:tgtFrame="_blank" w:history="1">
        <w:r w:rsidRPr="00F9348F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3164-15</w:t>
        </w:r>
      </w:hyperlink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),  "Про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підтвердження відповідності"     (     </w:t>
      </w:r>
      <w:hyperlink r:id="rId11" w:tgtFrame="_blank" w:history="1">
        <w:r w:rsidRPr="00F9348F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2406-14</w:t>
        </w:r>
      </w:hyperlink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)    та    інших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нормативно-правових актах.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6" w:name="o27"/>
      <w:bookmarkEnd w:id="26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</w:t>
      </w:r>
    </w:p>
    <w:p w:rsid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</w:p>
    <w:p w:rsid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</w:p>
    <w:p w:rsid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4. Дія цього Технічного регламенту поширюється на: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7" w:name="o28"/>
      <w:bookmarkEnd w:id="27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обладнання та захисні системи;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8" w:name="o29"/>
      <w:bookmarkEnd w:id="28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захисні, контрольні та керуючі пристрої,  що  призначені  для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застосування поза межами вибухонебезпечного середовища і необхідні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для безпечного функціонування обладнання та захисних систем;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9" w:name="o30"/>
      <w:bookmarkEnd w:id="29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транспортні засоби,  призначені для застосування у потенційно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вибухонебезпечному середовищі шахт і виробництв.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0" w:name="o31"/>
      <w:bookmarkEnd w:id="30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5. Дія цього Технічного регламенту не поширюється на: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1" w:name="o32"/>
      <w:bookmarkEnd w:id="31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вироби медичного призначення;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2" w:name="o33"/>
      <w:bookmarkEnd w:id="32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обладнання та  захисні  системи,  під  час  експлуатації яких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небезпека  вибуху  виникає  лише  за  наявності  вибухонебезпечних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речовин і нестійких хімічних сполук;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3" w:name="o34"/>
      <w:bookmarkEnd w:id="33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обладнання, призначене   для   побутового   і   невиробничого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застосування   в   умовах,   коли   вибухонебезпечне    середовище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утворюється внаслідок непередбаченого витоку горючого газу;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4" w:name="o35"/>
      <w:bookmarkEnd w:id="34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засоби індивідуального захисту;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5" w:name="o36"/>
      <w:bookmarkEnd w:id="35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засоби загального  користування,  призначені  для перевезення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пасажирів і вантажів  повітряним,  автодорожнім,  залізничним  або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водним транспортом.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6" w:name="o37"/>
      <w:bookmarkEnd w:id="36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6. Виробники  обладнання  та захисних систем,  що вводяться в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обіг,  та  їх   уповноважені   представники,   центральні   органи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виконавчої влади,  які здійснюють технічне регулювання і нагляд за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їх технічним станом,  органи з  оцінки  відповідності  зобов'язані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дотримуватися   вимог   і   правил,   установлених  цим  Технічним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регламентом.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7" w:name="o38"/>
      <w:bookmarkEnd w:id="37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7. Введення в обіг обладнання та захисних систем дозволяється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лише   за  умови  підтвердження  їх  відповідності  вимогам  цього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Технічного  регламенту  згідно  з  передбаченими  ним  процедурами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оцінки  відповідності  та  за  умови  їх встановлення і технічного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обслуговування згідно з документацією виробника.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8" w:name="o39"/>
      <w:bookmarkEnd w:id="38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8. Обладнання поділяється за такими групами: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39" w:name="o40"/>
      <w:bookmarkEnd w:id="39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група I - обладнання для застосування  в  шахтах  (рудниках),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небезпечних за обсягом рудникового газу та/або горючого пилу;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40" w:name="o41"/>
      <w:bookmarkEnd w:id="40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група II    -    обладнання   для   застосування   в   іншому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вибухонебезпечному середовищі.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41" w:name="o42"/>
      <w:bookmarkEnd w:id="41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9. Обладнання   групи    II    залежно    від    властивостей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вибухонебезпечного   середовища,   для   якого   воно  призначене,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поділяється за підгрупами A, B і C.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42" w:name="o43"/>
      <w:bookmarkEnd w:id="42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10. Обладнання,  призначене   для   застосування   в   шахтах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(рудниках),  у  яких,  крім  рудникового  газу,  можуть  бути інші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домішки,  повинне відповідати вимогам до  обладнання  групи  I,  а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також    тієї   підгрупи   групи   II,   яка   відповідає   такому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вибухонебезпечному середовищу.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43" w:name="o44"/>
      <w:bookmarkEnd w:id="43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11. За  рівнем  вибухозахисту  обладнання   груп   I   і   II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поділяється відповідно за такими категоріями: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44" w:name="o45"/>
      <w:bookmarkEnd w:id="44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  1) М3  і 3 - противибухове обладнання підвищеної надійності з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рівнем   вибухозахисту   2,   що   забезпечує   функціонування   і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вибухозахист   обладнання  лише  за  умови  дотримання  виробником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нормального режиму роботи.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45" w:name="o46"/>
      <w:bookmarkEnd w:id="45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Обладнання зазначених категорій призначене для застосування у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вибухонебезпечних  зонах  класу  2,  в  яких  за  нормальних  умов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експлуатації утворення вибухонебезпечного середовища малоймовірне,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а у разі його утворення триває протягом нетривалого часу;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46" w:name="o47"/>
      <w:bookmarkEnd w:id="46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2) М2  і 2 - вибухозахищене обладнання з рівнем вибухозахисту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1,  що забезпечує функціонування і вибухозахист не тільки  у  разі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дотримання  виробником  нормального  режиму  роботи,  а  і  у разі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виникнення одного визнаного ймовірним  пошкодження,  передбаченого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стандартами для відповідних видів вибухозахисту.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47" w:name="o48"/>
      <w:bookmarkEnd w:id="47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Обладнання зазначених категорій призначене для застосування у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вибухонебезпечних  зонах  класу   1,   в   яких   вибухонебезпечне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середовище може утворитися за нормальних умов експлуатації.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48" w:name="o49"/>
      <w:bookmarkEnd w:id="48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 разі  утворення  вибухонебезпечного  середовища  обладнання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категорії М2 повинне відключатися;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49" w:name="o50"/>
      <w:bookmarkEnd w:id="49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3) М1 і 1  -  особливо  вибухозахищене  обладнання  з  рівнем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вибухозахисту 0, що забезпечує використання додаткових порівняно з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рівнем М2 і 2 засобів вибухозахисту,  передбачених стандартами для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відповідних видів вибухозахисту.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50" w:name="o51"/>
      <w:bookmarkEnd w:id="50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Зазначене обладнання      повинне     зберігати     здатність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функціонувати у разі  утворення  вибухонебезпечного  середовища  і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забезпечувати  вибухозахист за наявності двох ймовірних пошкоджень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або мати два незалежних вибухозахисних засоби.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51" w:name="o52"/>
      <w:bookmarkEnd w:id="51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Обладнання таких  категорій  призначене  для  застосування  у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вибухонебезпечних   зонах   класу   0,   в  яких  вибухонебезпечне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середовище наявне постійно або протягом тривалого часу.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52" w:name="o53"/>
      <w:bookmarkEnd w:id="52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12. Уведення   в   обіг   обладнання   та   захисних   систем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дозволяється   у   разі,  коли  вони  розроблені,  виготовлені  та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випробувані  згідно  з  цим  Технічним  регламентом,  відповідають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вимогам   безпеки   і   забезпечують   захист  від  небезпеки  при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встановленні,  обслуговуванні та експлуатації для  людей,  тварин,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майна і навколишнього природного середовища.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53" w:name="o54"/>
      <w:bookmarkEnd w:id="53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13. Особи,  відповідальні  за  введення  в обіг обладнання та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захисних   систем   (виробник,   уповноважена   ним    особа    чи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постачальник), повинні вжити заходів для: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54" w:name="o55"/>
      <w:bookmarkEnd w:id="54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виконання положень  процедури  оцінки  відповідності згідно з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цим Технічним регламентом;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55" w:name="o56"/>
      <w:bookmarkEnd w:id="55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декларування та маркування національним знаком  відповідності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згідно   з  цим  Технічним  регламентом  за  наявності  позитивних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результатів оцінки відповідності.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56" w:name="o57"/>
      <w:bookmarkEnd w:id="56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14. На торговельних ярмарках,  виставках,  презентаціях  тощо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дозволяється  демонструвати  обладнання та захисні системи,  що не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відповідають вимогам цього Технічного регламенту,  за наявності на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них  позначки,  яка свідчить про те,  що такі вироби не призначені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для введення їх в обіг до приведення у  відповідність  з  вимогами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Технічного регламенту.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57" w:name="o58"/>
      <w:bookmarkEnd w:id="57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  Під час   монтажу,   демонтажу  і  демонстрування  обладнання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повинні бути вжиті  відповідні  заходи  безпеки  для  гарантування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захисту людей.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58" w:name="o59"/>
      <w:bookmarkEnd w:id="58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15. У разі коли виявлено,  що обладнання або захисні системи,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марковані національним знаком відповідності,  під час експлуатації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  призначенням  можуть  становити  небезпеку для людей,  тварин,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майна і навколишнього  природного  середовища,  призначений  орган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негайно інформує про це центральний орган виконавчої влади у сфері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технічного регулювання із зазначенням причин невідповідності,  які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можуть бути наслідком: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59" w:name="o60"/>
      <w:bookmarkEnd w:id="59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невідповідності основним    вимогам,   визначеним   у   цьому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Технічному регламенті;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60" w:name="o61"/>
      <w:bookmarkEnd w:id="60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некваліфікованого застосування національних стандартів;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61" w:name="o62"/>
      <w:bookmarkEnd w:id="61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наявності недоліків у національних стандартах.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62" w:name="o63"/>
      <w:bookmarkEnd w:id="62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16. Центральний орган виконавчої  влади  у  сфері  технічного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регулювання  вживає  всіх необхідних заходів для вилучення з обігу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такого обладнання або захисних систем,  заборони їх постачання  на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ринок і введення в експлуатацію,  а також проти юридичних осіб, що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здійснили маркування національним знаком відповідності.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63" w:name="o64"/>
      <w:bookmarkEnd w:id="63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17. Будь-яке рішення, прийняте відповідно до цього Технічного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регламенту,  яке  обмежує  введення в обіг чи потребує вилучення з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обігу обладнання або захисної системи,  повинне бути обґрунтоване.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Таке рішення доводиться до відома заінтересованих сторін одночасно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 інформацією про заходи  правового  захисту,  якими  вони  можуть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скористатись відповідно до законодавства.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64" w:name="o65"/>
      <w:bookmarkEnd w:id="64"/>
      <w:r w:rsidRPr="00F9348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        Вимоги безпеки до обладнання та захисних систем </w:t>
      </w:r>
      <w:r w:rsidRPr="00F9348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65" w:name="o66"/>
      <w:bookmarkEnd w:id="65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18. Обладнання  та захисні системи проектуються з урахуванням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вимог комплексного  вибухозахисту,  відповідно  до  чого  виробник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повинен вжити заходів для: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66" w:name="o67"/>
      <w:bookmarkEnd w:id="66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запобігання утворенню вибухонебезпечного середовища внаслідок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виробничих  процесів,  а  також  роботи  обладнання  або  захисних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систем;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67" w:name="o68"/>
      <w:bookmarkEnd w:id="67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запобігання займанню    вибухонебезпечного   середовища   від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електричних чи неелектричних джерел займання;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68" w:name="o69"/>
      <w:bookmarkEnd w:id="68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негайного зупинення процесу вибуху,  що зароджується,  та/або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обмеження простору, в якому може статися вибух.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69" w:name="o70"/>
      <w:bookmarkEnd w:id="69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Обладнання та  захисні  системи  повинні  бути  розроблені  і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виготовлені  з  урахуванням   можливості   пошкодження   під   час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експлуатації,  ймовірного  використання  не  за призначенням та їх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функціонування  у  фактичних  і  ймовірних  умовах   навколишнього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середовища.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70" w:name="o71"/>
      <w:bookmarkEnd w:id="70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Обладнання та  захисні  системи,  що  підлягають  спеціальній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перевірці,  обслуговуванню  і  ремонту,  повинні  розроблятися  та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виготовлятися з урахуванням вимог цього Технічного регламенту.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71" w:name="o72"/>
      <w:bookmarkEnd w:id="71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19. До  обладнання  та  захисних  систем  повинні  додаватися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настанови з експлуатації, що включають: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72" w:name="o73"/>
      <w:bookmarkEnd w:id="72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  відомості про маркування  національним  знаком  відповідності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обладнання або захисної системи;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73" w:name="o74"/>
      <w:bookmarkEnd w:id="73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відомості, необхідні  для  безпечного  монтажу  і  демонтажу,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введення в експлуатацію,  застосування, обслуговування, ремонту (в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тому   числі   аварійного  усунення  пошкоджень)  та  налагодження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обладнання;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74" w:name="o75"/>
      <w:bookmarkEnd w:id="74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інформацію про клас вибухонебезпечних зон, у яких можуть бути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встановлені обладнання та захисні системи;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75" w:name="o76"/>
      <w:bookmarkEnd w:id="75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електричні параметри, величину тиску, максимальну температуру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поверхні та навколишнього середовища;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76" w:name="o77"/>
      <w:bookmarkEnd w:id="76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особливі умови застосування;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77" w:name="o78"/>
      <w:bookmarkEnd w:id="77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основні характеристики пристроїв,  якими може бути  додатково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укомплектоване обладнання або захисна система;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78" w:name="o79"/>
      <w:bookmarkEnd w:id="78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необхідні креслення і схеми монтажу і демонтажу,  інформацію,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необхідну для гарантування безпеки.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79" w:name="o80"/>
      <w:bookmarkEnd w:id="79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20. Матеріали,   що   використовуються    для    виготовлення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обладнання та захисних систем, не повинні спричиняти вибух.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80" w:name="o81"/>
      <w:bookmarkEnd w:id="80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 умовах  експлуатації,  передбачених виробником,  не повинна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відбуватися реакція між використаними матеріалами  і  компонентами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потенційно  вибухонебезпечного  середовища,  що  могла б негативно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вплинути на рівень вибухозахисту.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81" w:name="o82"/>
      <w:bookmarkEnd w:id="81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Матеріали повинні  бути  такими,   щоб   можливі   зміни   їх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характеристик   (сумісність   з   іншими   матеріалами,   корозія,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зносостійкість,  електропровідність,  ударна  міцність,  старіння,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зміни,   пов'язані  з  температурою,  тощо)  не  могли  спричинити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зниження рівня вибухозахисту.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82" w:name="o83"/>
      <w:bookmarkEnd w:id="82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21. Для забезпечення відповідності вимогам  безпеки  протягом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усього  строку  експлуатації обладнання та захисні системи повинні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бути спроектовані та виготовлені  відповідно  до  сучасного  рівня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науки і техніки у сфері вибухобезпеки.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83" w:name="o84"/>
      <w:bookmarkEnd w:id="83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Ех-компоненти і запасні частини обладнання та захисних систем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проектуються  і  виготовляються   таким   чином,   щоб   під   час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застосування вони могли забезпечувати вибухозахист.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84" w:name="o85"/>
      <w:bookmarkEnd w:id="84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Обладнання, здатне виділяти горючі гази або пил, повинне бути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спроектовано та виготовлено "в закритому варіанті".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85" w:name="o86"/>
      <w:bookmarkEnd w:id="85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Обладнання, що має отвори  і  нещільні  з'єднання,  необхідно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спроектувати таким чином, щоб горючі гази або пил, що виділяються,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не призвели до утворення вибухонебезпечного середовища.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86" w:name="o87"/>
      <w:bookmarkEnd w:id="86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22. Обладнання   та   захисні   системи,    призначені    для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застосування   в   заповненому   пилом   просторі,   повинні  бути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виготовлені таким чином,  щоб пил,  який осідає на їх поверхні, не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міг  спалахнути,  а  також  бути  зручними  для очищення від пилу.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Температура поверхні частин  обладнання  повинна  бути  нижчою  за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температуру  тління пилу та температуру займання ймовірних сумішей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повітря  і  пилу.  При   цьому   слід   застосовувати   обмежувачі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температури.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  <w:bookmarkStart w:id="87" w:name="o88"/>
      <w:bookmarkEnd w:id="87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</w:t>
      </w:r>
    </w:p>
    <w:p w:rsid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Під час   розрахунку  теплообміну  та  граничної  температури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нагрівання частин обладнання необхідно  враховувати  товщину  шару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відкладеного пилу.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88" w:name="o89"/>
      <w:bookmarkEnd w:id="88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Обладнання повинне бути пилонепроникним.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89" w:name="o90"/>
      <w:bookmarkEnd w:id="89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23. Обладнання  та  захисні  системи,  що  підпадають під дію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зовнішнього  впливу  повинні  мати  додаткові  засоби  захисту  та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витримувати зовнішній вплив без зниження рівня вибухозахисту.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90" w:name="o91"/>
      <w:bookmarkEnd w:id="90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24. У  разі  коли  обладнання  та захисні системи розміщені в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оболонці,  яка  є   частиною   засобів   вибухозахисту,   оболонка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відкривається  лише  за  допомогою  спеціального інструмента або з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дотриманням відповідних правил захисту.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91" w:name="o92"/>
      <w:bookmarkEnd w:id="91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Частини обладнання  категорій  М1  і  1,  які   можуть   бути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джерелами займання,  відкриваються тільки у відключеному стані або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виготовляються за видом  вибухозахисту  "іскробезпечне  електричне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коло".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92" w:name="o93"/>
      <w:bookmarkEnd w:id="92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Частини обладнання категорій М2 і 2, які можуть бути причиною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вибуху,  відкриваються лише після відключення обладнання чи  через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відповідні   блокувальні   системи  або  виготовляються  за  видом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вибухозахисту "іскробезпечне електричне коло".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93" w:name="o94"/>
      <w:bookmarkEnd w:id="93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На частини обладнання,  що відкривається,  виробник  наносить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попереджувальний напис.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94" w:name="o95"/>
      <w:bookmarkEnd w:id="94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25. Обладнання    та    захисні   системи   розробляються   і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виготовляються таким чином,  щоб можна було  уникнути  травмування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внаслідок прямого або непрямого контакту,  забезпечити відсутність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небезпечного нагрівання або зовнішнього  випромінювання  доступних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частин   обладнання,   а  також  виключити  можливість  виникнення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ймовірної небезпеки неелектричного характеру,  а також  небезпеки,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спричиненої перевантаженням обладнання.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95" w:name="o96"/>
      <w:bookmarkEnd w:id="95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26. Для запобігання небезпечним перевантаженням обладнання на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стадії проектування слід передбачити  застосування  вимірювальних,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регулювальних  та  контрольних  пристроїв,  наприклад автоматичних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вимикачів,  обмежувачів температури,  диференціальних реле  тиску,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витратомірів,  реле  з  витримкою  часу,  індикаторів  перевищення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швидкості та/або аналогічних пристроїв.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96" w:name="o97"/>
      <w:bookmarkEnd w:id="96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27. Якщо частини обладнання,  що можуть  спричинити  займання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вибухонебезпечного  середовища,  розміщені  в оболонці,  необхідно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забезпечити здатність оболонки  витримувати  внутрішній  тиск  при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вибуху  всередині  неї і запобігати поширенню вибуху в зовнішньому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вибухонебезпечному середовищі.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97" w:name="o98"/>
      <w:bookmarkEnd w:id="97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28. Для  забезпечення   вибухозахисту   необхідно   запобігти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виникненню таких потенційних джерел займання: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98" w:name="o99"/>
      <w:bookmarkEnd w:id="98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полум'я, іскра   та   електрична   дуга,  висока  температура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поверхні,  випромінювання   в   оптичному   та   електромагнітному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діапазонах;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99" w:name="o100"/>
      <w:bookmarkEnd w:id="99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накопичення електростатичних   зарядів,   здатних   викликати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небезпечні розряди;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00" w:name="o101"/>
      <w:bookmarkEnd w:id="100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наявність у частинах обладнання розсіяних струмів  і  струмів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витоку,  здатних призвести до появи небезпечної корозії, іскор або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перегріву поверхонь, які створюють можливість займання;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01" w:name="o102"/>
      <w:bookmarkEnd w:id="101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  перегрів унаслідок тертя або удару, наприклад між матеріалами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 деталями,  що торкаються один одного в процесі обертання,  або в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разі потрапляння сторонніх предметів.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02" w:name="o103"/>
      <w:bookmarkEnd w:id="102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Обладнання та   захисні   системи   повинні   бути   оснащені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вбудованими    вимірювальними,   контрольними   і   регулювальними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пристроями   або   сконструйовані   таким   чином,   щоб   процеси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вирівнювання   тисків   не  спричиняли  появи  ударних  хвиль  або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стиснень, які можуть призвести до вибуху.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03" w:name="o104"/>
      <w:bookmarkEnd w:id="103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 разі зміни навколишнього середовища  (у  межах,  визначених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виробником)   і   за   наявності  зовнішнього  впливу  (вологість,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вібрація,  забруднення тощо) обладнання та захисні системи повинні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безпечно виконувати свої функції.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04" w:name="o105"/>
      <w:bookmarkEnd w:id="104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Складові частини обладнання та захисних систем розраховуються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на  відповідні  механічні  і  теплові  навантаження   та   повинні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витримувати вплив наявних або ймовірних агресивних речовин.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05" w:name="o106"/>
      <w:bookmarkEnd w:id="105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29. Захисні  пристрої  повинні  функціонувати  незалежно  від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будь-якого необхідного  для  роботи   обладнання   вимірювального,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керуючого, регулювального та контрольного пристрою.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06" w:name="o107"/>
      <w:bookmarkEnd w:id="106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Можливість швидкого  виявлення  пошкоджень захисного пристрою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створюється за допомогою відповідних технічних засобів.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07" w:name="o108"/>
      <w:bookmarkEnd w:id="107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Аварійне відключення  обладнання  повинно  приводити  в   дію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безпосередньо  (без  проміжної  команди  програмного забезпечення)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відповідний  керуючий  пристрій,  про  що  подається   відповідний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сигнал.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08" w:name="o109"/>
      <w:bookmarkEnd w:id="108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 разі   пошкодження  захисного  пристрою  обладнання  та/або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захисні системи повинні залишатися безпечними.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09" w:name="o110"/>
      <w:bookmarkEnd w:id="109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Захисні пристрої, що здійснюють аварійне відключення, повинні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блокуватися  від  повторного пуску.  Їх робота може бути поновлена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лише після повного  усунення  причин  відключення,  а  новий  пуск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здійснюється тільки за умови повернення до нормального стану.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10" w:name="o111"/>
      <w:bookmarkEnd w:id="110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Для забезпечення    максимально   можливого   рівня   безпеки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контрольні пристрої  та  індикатори  повинні  відповідати  вимогам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ергономіки і вибухозахисту.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11" w:name="o112"/>
      <w:bookmarkEnd w:id="111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Пристрої з    вимірювальними    функціями    проектуються   і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виготовляються з урахуванням  спеціальних  вимог  експлуатації  та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умов  застосування  у  вибухонебезпечному  середовищі з можливістю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перевірки їх функціонування і точності показань.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12" w:name="o113"/>
      <w:bookmarkEnd w:id="112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Під час  розроблення  захисних  пристроїв  з   вимірювальними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функціями  застосовується  коефіцієнт  безпеки,  який забезпечує у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разі додержання умов  роботи  і  з  урахуванням  можливих  похибок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вимірювальної   системи   достатній   рівень   аварійного   порогу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спрацювання   від   межі   можливого   вибуху   та/або    займання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вибухонебезпечного середовища.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13" w:name="o114"/>
      <w:bookmarkEnd w:id="113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Під час   розроблення   програмного  забезпечення,  що  керує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захисними  системами  і  захисними  пристроями,   особлива   увага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приділяється  запобіганню  небезпеці,  пов'язаній  з  помилками  у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програмі.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14" w:name="o115"/>
      <w:bookmarkEnd w:id="114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</w:t>
      </w:r>
    </w:p>
    <w:p w:rsid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15" w:name="_GoBack"/>
      <w:bookmarkEnd w:id="115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30. Для  обладнання   та   захисних   систем,   включених   в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автоматизовані  процеси,  передбачається  ручне відключення у разі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відхилення від нормальних умов  роботи,  якщо  це  не  впливає  на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безпеку.  При  цьому накопичена енергія повинна локалізуватися або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розсіюватися дуже швидко.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16" w:name="o116"/>
      <w:bookmarkEnd w:id="116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Якщо після відключення живлення обладнання та захисні системи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стають джерелами небезпеки,  безпечний стан комплексу повинен бути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забезпечений незалежно від решти виробничих систем.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17" w:name="o117"/>
      <w:bookmarkEnd w:id="117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Обладнання та захисні системи оснащуються безпечними  вводами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кабелів і проводів.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18" w:name="o118"/>
      <w:bookmarkEnd w:id="118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Захисні системи    з    пристроями    для    виявлення    або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попереджувальної сигналізації  про  виникнення  вибухонебезпечного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середовища комплектуються відповідними настановами.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19" w:name="o119"/>
      <w:bookmarkEnd w:id="119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Захисні системи  проектуються  і  виготовляються таким чином,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щоб  запобігти  поширенню  вибуху  внаслідок  ланцюгової  реакції,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детонації або займання від вогню, що спалахнув.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20" w:name="o120"/>
      <w:bookmarkEnd w:id="120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Під час  перерви  у  подачі  живлення захисні системи повинні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функціонувати   протягом   часу,   необхідного   для    ліквідації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небезпечної ситуації.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21" w:name="o121"/>
      <w:bookmarkEnd w:id="121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Вибір матеріалів    для   обладнання   та   захисних   систем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здійснюється з урахуванням імовірного максимального тиску вибуху і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його теплового впливу.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22" w:name="o122"/>
      <w:bookmarkEnd w:id="122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На стадії  розроблення  захисних систем враховуються наслідки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можливого виникнення підвищеного тиску в периферійному  обладнанні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 приєднаних трубопроводах.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23" w:name="o123"/>
      <w:bookmarkEnd w:id="123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 разі  коли рівень впливу тиску на захисні системи перевищує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міцність  їх  конструкції,  слід  передбачити  застосування  таких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пристроїв для зниження тиску,  які не створюватимуть небезпеки для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людей.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24" w:name="o124"/>
      <w:bookmarkEnd w:id="124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Роз'єднувальні пристрої,    призначені    для    оперативного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відключення    обладнання    у    разі    вибуху,   повинні   бути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вибухонепроникними і стійкими.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25" w:name="o125"/>
      <w:bookmarkEnd w:id="125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Захисні системи повинні мати прийнятний поріг спрацювання для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відключення живлення підвідних і відвідних пристроїв,  а також тих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частин  обладнання,   які   не   здатні   забезпечувати   безпечне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функціонування.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26" w:name="o126"/>
      <w:bookmarkEnd w:id="126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Конструкція захисних систем повинна бути такою,  щоб будь-яке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пошкодження можна було виявити достатньо швидко.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27" w:name="o127"/>
      <w:bookmarkEnd w:id="127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Основним принципом   конструювання    захисних    систем    є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забезпечення безпеки у разі виникнення помилки.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28" w:name="o128"/>
      <w:bookmarkEnd w:id="128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Для обладнання   з   програмним   керуванням   передбачається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безпосереднє спрацювання захисних систем  і  пристроїв  (наприклад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роз'єднувачів) без застосування такого керування.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29" w:name="o129"/>
      <w:bookmarkEnd w:id="129"/>
      <w:r w:rsidRPr="00F9348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                 Процедури оцінки відповідності </w:t>
      </w:r>
      <w:r w:rsidRPr="00F9348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30" w:name="o130"/>
      <w:bookmarkEnd w:id="130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31. Оцінку  відповідності обладнання вимогам цього Технічного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регламенту виробник або  його  уповноважений  представник  повинен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проводити    із    застосуванням    процедур    (модулів    оцінки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відповідності),  визначених постановою Кабінету Міністрів  України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від 7  жовтня  2003  р.  N  1585 ( </w:t>
      </w:r>
      <w:hyperlink r:id="rId12" w:tgtFrame="_blank" w:history="1">
        <w:r w:rsidRPr="00F9348F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1585-2003-п</w:t>
        </w:r>
      </w:hyperlink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) "Про затвердження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Технічного регламенту модулів оцінки відповідності та  вимог  щодо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маркування національним знаком відповідності, які застосовуються в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технічних регламентах" (Офіційний вісник України,  2003 р.,  N 41,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ст.  2175;  2007 р., N 1, ст. 31), з урахуванням групи і категорії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обладнання.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31" w:name="o131"/>
      <w:bookmarkEnd w:id="131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32. Для обладнання груп I і II застосовуються такі  процедури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оцінки відповідності: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32" w:name="o132"/>
      <w:bookmarkEnd w:id="132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1) для категорій М1 і 1 - перевірка типу згідно з модулем B у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поєднанні з процедурою забезпечення якості  виробництва  згідно  з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модулем D або процедурою перевірки продукції згідно з модулем F;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33" w:name="o133"/>
      <w:bookmarkEnd w:id="133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2) для категорій М2 і 2 - перевірка типу згідно з модулем B у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поєднанні з процедурою підтвердження відповідності типу за модулем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C з дотриманням положень підпунктів "а" і "б" пункту 37 Технічного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регламенту  модулів  оцінки  або  процедурою  забезпечення  якості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продукції за модулем E;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34" w:name="o134"/>
      <w:bookmarkEnd w:id="134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3) для  категорій  М3  і  3 - процедура внутрішнього контролю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виробництва згідно з модулем A у поєднанні з додатковими  вимогами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згідно з модулем Aa (модифікований модуль A);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35" w:name="o135"/>
      <w:bookmarkEnd w:id="135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4) процедура  перевірки  одиниць продукції згідно з модулем G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як альтернатива до процедур,  передбачених підпунктами  1-3  цього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пункту.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36" w:name="o136"/>
      <w:bookmarkEnd w:id="136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33. Для  оцінки  відповідності захисних систем застосовуються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процедури,  наведені  у  підпунктах  1  або  4  пункту  32   цього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Технічного регламенту.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37" w:name="o137"/>
      <w:bookmarkEnd w:id="137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34. Процедури,  передбачені  у  пункті 31,  застосовуються до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ех-компонентів,  які  відповідно   до   вимог   цього   Технічного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регламенту   повинні   мати   відповідні  сертифікати  і  вказівки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виробника   або   його   уповноваженого   представника   щодо   їх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характеристик  і  способів  кріплення  до  обладнання або захисних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систем.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38" w:name="o138"/>
      <w:bookmarkEnd w:id="138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35. Цей Технічний регламент не  обмежує  виробника  або  його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уповноваженого  представника у застосуванні більш складних модулів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оцінки відповідності продукції,  ніж ті,  що передбачені у пунктах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32 і 33.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39" w:name="o139"/>
      <w:bookmarkEnd w:id="139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36. У  процесі  проведення оцінки відповідності обладнання та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захисних  систем  виробник  або  його  уповноважений   представник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складає декларацію про відповідність за формою згідно з додатком і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наносить на кожний виріб національний знак відповідності згідно  з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вимогами цього Технічного регламенту.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40" w:name="o140"/>
      <w:bookmarkEnd w:id="140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37. Технічна  документація,  що подається виробником або його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уповноваженим  представником  органові  з  оцінки   відповідності,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вимоги  до  якого  визначені постановою Кабінету Міністрів України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 24 січня 2007 р.  N 59 ( </w:t>
      </w:r>
      <w:hyperlink r:id="rId13" w:tgtFrame="_blank" w:history="1">
        <w:r w:rsidRPr="00F9348F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59-2007-п</w:t>
        </w:r>
      </w:hyperlink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) "Про затвердження Порядку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здійснення  процедури  призначення  органів з оцінки відповідності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продукції,  процесів  і  послуг  вимогам  технічних   регламентів"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(Офіційний  вісник  України,  2007  р.,  N 6,  ст.  223),  повинна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містити: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41" w:name="o141"/>
      <w:bookmarkEnd w:id="141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технічні умови  (специфікацію)  до  обладнання  та   захисних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систем,   технічну  документацію  на  виготовлення  обладнання  та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захисних систем, а також програму і методику випробувань;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42" w:name="o142"/>
      <w:bookmarkEnd w:id="142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     експлуатаційну документацію  (технічний  опис,  інструкцію  з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експлуатації);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43" w:name="o143"/>
      <w:bookmarkEnd w:id="143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список   застосованих   повністю   або  частково  стандартів,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включених  до  переліку  національних стандартів, які відповідають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європейським гармонізованим стандартам та добровільне застосування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яких  може  сприйматися  як доказ відповідності обладнання вимогам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цього  Технічного  регламенту;  {  Абзац  четвертий  пункту  37  в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редакції Постанови КМ N 632 ( </w:t>
      </w:r>
      <w:hyperlink r:id="rId14" w:tgtFrame="_blank" w:history="1">
        <w:r w:rsidRPr="00F9348F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632-2013-п</w:t>
        </w:r>
      </w:hyperlink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) від 28.08.2013 }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44" w:name="o144"/>
      <w:bookmarkEnd w:id="144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результати проведених   розрахунків  конструкції  обладнання,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перевірок тощо.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45" w:name="o145"/>
      <w:bookmarkEnd w:id="145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38. Виробник  або  його  уповноважений  представник  зберігає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декларацію про відповідність і технічну документацію,  зазначену в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пункті 36 цього Технічного регламенту, протягом десяти років після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введення  в  обіг  останнього обладнання та/або захисної системи і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надавати її для перевірки в установлених законодавством випадках.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46" w:name="o146"/>
      <w:bookmarkEnd w:id="146"/>
      <w:r w:rsidRPr="00F9348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                           Маркування </w:t>
      </w:r>
      <w:r w:rsidRPr="00F9348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47" w:name="o147"/>
      <w:bookmarkEnd w:id="147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39. На кожну одиницю обладнання та  захисних  систем  повинні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бути чітко і розбірливо нанесені такі відомості: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48" w:name="o148"/>
      <w:bookmarkEnd w:id="148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назва і адреса виробника;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49" w:name="o149"/>
      <w:bookmarkEnd w:id="149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національний знак відповідності;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50" w:name="o150"/>
      <w:bookmarkEnd w:id="150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позначення серії або типу;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51" w:name="o151"/>
      <w:bookmarkEnd w:id="151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серійний номер;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52" w:name="o152"/>
      <w:bookmarkEnd w:id="152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рік виготовлення;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53" w:name="o153"/>
      <w:bookmarkEnd w:id="153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позначення вибухозахисту;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54" w:name="o154"/>
      <w:bookmarkEnd w:id="154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додаткова інформація, необхідна для безпечного застосування.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55" w:name="o155"/>
      <w:bookmarkEnd w:id="155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40. На  кожну  одиницю  обладнання  або захисної системи,  їх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упаковку та/або супровідну документацію  перед  введенням  в  обіг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наносяться  національний  знак  відповідності  згідно з постановою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Кабінету Міністрів  України  від  29  листопада  2001  р.  N  1599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( </w:t>
      </w:r>
      <w:hyperlink r:id="rId15" w:tgtFrame="_blank" w:history="1">
        <w:r w:rsidRPr="00F9348F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val="uk-UA" w:eastAsia="ru-RU"/>
          </w:rPr>
          <w:t>1599-2001-п</w:t>
        </w:r>
      </w:hyperlink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)  "Про  затвердження  опису та правил застосування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національного знака  відповідності"  (Офіційний  вісник   України,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2001 р.,  N  49,  ст.  2188)  та  знак,  що  свідчить  про  рівень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вибухозахисту.    Під    національним     знаком     відповідності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проставляється    ідентифікаційний   номер   призначеного   органу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відповідно до Державного  реєстру  призначених  органів  з  оцінки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відповідності.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56" w:name="o156"/>
      <w:bookmarkEnd w:id="156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41. Застосування     національного     знака    відповідності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здійснюється відповідно до  вимог  Технічного  регламенту  модулів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оцінки.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57" w:name="o157"/>
      <w:bookmarkEnd w:id="157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42. Якщо  на  обладнання  або захисні системи поширюється дія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інших   технічних   регламентів,   що    передбачають    нанесення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національного  знака відповідності,  обладнання та захисні системи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повинні також відповідати вимогам зазначених регламентів.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58" w:name="o158"/>
      <w:bookmarkEnd w:id="158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У разі коли один чи  кілька  технічних  регламентів  протягом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перехідного  періоду  їх  запровадження допускають право виробника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обирати    спосіб    підтвердження    відповідності,     нанесення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національного  знака  відповідності означає відповідність лише тим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 xml:space="preserve">технічним регламентам, які застосовано виробником. У такому разі в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документах чи настановах,  що додаються до обладнання або захисних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систем,  наводяться  реєстраційні  дані  застосованих  регламентів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відповідно до офіційних документів щодо їх запровадження.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59" w:name="o159"/>
      <w:bookmarkEnd w:id="159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43. Нанесення   на  обладнання  або  захисні  системи  знака,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схожого   за   формою   на   національний   знак    відповідності,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забороняється.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60" w:name="o160"/>
      <w:bookmarkEnd w:id="160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                                          ЗАТВЕРДЖЕНО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                             постановою Кабінету Міністрів України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  <w:t xml:space="preserve">                                   від 8 жовтня 2008 р. N 898 </w:t>
      </w:r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61" w:name="o161"/>
      <w:bookmarkEnd w:id="161"/>
      <w:r w:rsidRPr="00F9348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t xml:space="preserve">                           ПЛАН ЗАХОДІВ </w:t>
      </w:r>
      <w:r w:rsidRPr="00F9348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   щодо запровадження Технічного регламенту обладнання </w:t>
      </w:r>
      <w:r w:rsidRPr="00F9348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     та захисних систем, призначених для застосування </w:t>
      </w:r>
      <w:r w:rsidRPr="00F9348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           в потенційно вибухонебезпечному середовищі </w:t>
      </w:r>
      <w:r w:rsidRPr="00F9348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  <w:t xml:space="preserve"> </w:t>
      </w:r>
      <w:r w:rsidRPr="00F9348F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val="uk-UA" w:eastAsia="ru-RU"/>
        </w:rPr>
        <w:br/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62" w:name="o162"/>
      <w:bookmarkEnd w:id="162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------------------------------------------------------------------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63" w:name="o163"/>
      <w:bookmarkEnd w:id="163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 Найменування заходу |    Відповідальні    |  Строк виконання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64" w:name="o164"/>
      <w:bookmarkEnd w:id="164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                     |    за виконання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65" w:name="o165"/>
      <w:bookmarkEnd w:id="165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|---------------------+---------------------+--------------------|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66" w:name="o166"/>
      <w:bookmarkEnd w:id="166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|1. Визначення        |Мінпромполітики      |IV квартал 2008 р. -|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67" w:name="o167"/>
      <w:bookmarkEnd w:id="167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|організації,         |                     |      2009 рік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68" w:name="o168"/>
      <w:bookmarkEnd w:id="168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|відповідальної за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69" w:name="o169"/>
      <w:bookmarkEnd w:id="169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|впровадження   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70" w:name="o170"/>
      <w:bookmarkEnd w:id="170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|Технічного регламенту|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71" w:name="o171"/>
      <w:bookmarkEnd w:id="171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|---------------------+---------------------+--------------------|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72" w:name="o172"/>
      <w:bookmarkEnd w:id="172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|2. Утворення         |         -"-         |        -"-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73" w:name="o173"/>
      <w:bookmarkEnd w:id="173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|консультаційно-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74" w:name="o174"/>
      <w:bookmarkEnd w:id="174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|методичного центру з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75" w:name="o175"/>
      <w:bookmarkEnd w:id="175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|питань застосування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76" w:name="o176"/>
      <w:bookmarkEnd w:id="176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|Технічного регламенту|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77" w:name="o177"/>
      <w:bookmarkEnd w:id="177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|---------------------+---------------------+--------------------|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78" w:name="o178"/>
      <w:bookmarkEnd w:id="178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|3. Формування та     |Держспоживстандарт   |IV квартал 2008 р. -|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79" w:name="o179"/>
      <w:bookmarkEnd w:id="179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|публікування в       |Мінпромполітики      |      2012 рік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80" w:name="o180"/>
      <w:bookmarkEnd w:id="180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|офіційному виданні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81" w:name="o181"/>
      <w:bookmarkEnd w:id="181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|переліку національних|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82" w:name="o182"/>
      <w:bookmarkEnd w:id="182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|стандартів, які в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83" w:name="o183"/>
      <w:bookmarkEnd w:id="183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|разі добровільного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84" w:name="o184"/>
      <w:bookmarkEnd w:id="184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|застосування   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85" w:name="o185"/>
      <w:bookmarkEnd w:id="185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|підприємствами є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86" w:name="o186"/>
      <w:bookmarkEnd w:id="186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|доказом відповідності|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87" w:name="o187"/>
      <w:bookmarkEnd w:id="187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|обладнання та  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88" w:name="o188"/>
      <w:bookmarkEnd w:id="188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|захисних систем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89" w:name="o189"/>
      <w:bookmarkEnd w:id="189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|вимогам Технічного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90" w:name="o190"/>
      <w:bookmarkEnd w:id="190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|регламенту.    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91" w:name="o191"/>
      <w:bookmarkEnd w:id="191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|Підготовка програми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92" w:name="o192"/>
      <w:bookmarkEnd w:id="192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|робіт із       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93" w:name="o193"/>
      <w:bookmarkEnd w:id="193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|стандартизації 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94" w:name="o194"/>
      <w:bookmarkEnd w:id="194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|---------------------+---------------------+--------------------|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95" w:name="o195"/>
      <w:bookmarkEnd w:id="195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|4. Приведення у разі |Мінпромполітики      |IV квартал 2008 р. -|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96" w:name="o196"/>
      <w:bookmarkEnd w:id="196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|потреби власних      |Держгірпромнагляд    |      2009 рік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97" w:name="o197"/>
      <w:bookmarkEnd w:id="197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|нормативно-правових  |Держспоживстандарт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98" w:name="o198"/>
      <w:bookmarkEnd w:id="198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|актів у відповідність|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199" w:name="o199"/>
      <w:bookmarkEnd w:id="199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|з положеннями  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00" w:name="o200"/>
      <w:bookmarkEnd w:id="200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|Технічного регламенту|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01" w:name="o201"/>
      <w:bookmarkEnd w:id="201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|---------------------+---------------------+--------------------|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02" w:name="o202"/>
      <w:bookmarkEnd w:id="202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|5. Популяризація     |Мінпромполітики      |        -"-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03" w:name="o203"/>
      <w:bookmarkEnd w:id="203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|впровадження         |Держспоживстандарт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04" w:name="o204"/>
      <w:bookmarkEnd w:id="204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|Технічного регламенту|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05" w:name="o205"/>
      <w:bookmarkEnd w:id="205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>|за допомогою засобів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06" w:name="o206"/>
      <w:bookmarkEnd w:id="206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|масової інформації, а|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07" w:name="o207"/>
      <w:bookmarkEnd w:id="207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|також шляхом   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08" w:name="o208"/>
      <w:bookmarkEnd w:id="208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|проведення семінарів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09" w:name="o209"/>
      <w:bookmarkEnd w:id="209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|і конференцій  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10" w:name="o210"/>
      <w:bookmarkEnd w:id="210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|---------------------+---------------------+--------------------|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11" w:name="o211"/>
      <w:bookmarkEnd w:id="211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|6. Здійснення заходів|Мінпромполітики      |IV квартал 2008 р. -|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12" w:name="o212"/>
      <w:bookmarkEnd w:id="212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|щодо підготовки      |                     |      2011 рік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13" w:name="o213"/>
      <w:bookmarkEnd w:id="213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|підприємств до 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14" w:name="o214"/>
      <w:bookmarkEnd w:id="214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|виготовлення   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15" w:name="o215"/>
      <w:bookmarkEnd w:id="215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|обладнання та  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16" w:name="o216"/>
      <w:bookmarkEnd w:id="216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|захисних систем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17" w:name="o217"/>
      <w:bookmarkEnd w:id="217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|відповідно до вимог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18" w:name="o218"/>
      <w:bookmarkEnd w:id="218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|Технічного регламенту|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19" w:name="o219"/>
      <w:bookmarkEnd w:id="219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|---------------------+---------------------+--------------------|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20" w:name="o220"/>
      <w:bookmarkEnd w:id="220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|7. Добровільне       |Мінпромполітики      |   2009-2011 роки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21" w:name="o221"/>
      <w:bookmarkEnd w:id="221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|застосування   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22" w:name="o222"/>
      <w:bookmarkEnd w:id="222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|підприємствами 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23" w:name="o223"/>
      <w:bookmarkEnd w:id="223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|Технічного регламенту|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24" w:name="o224"/>
      <w:bookmarkEnd w:id="224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|шляхом проведення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25" w:name="o225"/>
      <w:bookmarkEnd w:id="225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|процедури оцінки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26" w:name="o226"/>
      <w:bookmarkEnd w:id="226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|відповідності  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27" w:name="o227"/>
      <w:bookmarkEnd w:id="227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|обладнання та  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28" w:name="o228"/>
      <w:bookmarkEnd w:id="228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|захисних систем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29" w:name="o229"/>
      <w:bookmarkEnd w:id="229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|вимогам Технічного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30" w:name="o230"/>
      <w:bookmarkEnd w:id="230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|регламенту     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31" w:name="o231"/>
      <w:bookmarkEnd w:id="231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|---------------------+---------------------+--------------------|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32" w:name="o232"/>
      <w:bookmarkEnd w:id="232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|8. Поетапне          |Держспоживстандарт   |IV квартал 2008 р. -|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33" w:name="o233"/>
      <w:bookmarkEnd w:id="233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|розроблення,         |Мінпромполітики      |      2012 рік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34" w:name="o234"/>
      <w:bookmarkEnd w:id="234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|актуалізація та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35" w:name="o235"/>
      <w:bookmarkEnd w:id="235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|впровадження   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36" w:name="o236"/>
      <w:bookmarkEnd w:id="236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|національних   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37" w:name="o237"/>
      <w:bookmarkEnd w:id="237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|стандартів,    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38" w:name="o238"/>
      <w:bookmarkEnd w:id="238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|гармонізованих з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39" w:name="o239"/>
      <w:bookmarkEnd w:id="239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|міжнародними,  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40" w:name="o240"/>
      <w:bookmarkEnd w:id="240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|відповідно до  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41" w:name="o241"/>
      <w:bookmarkEnd w:id="241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|програми робіт із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42" w:name="o242"/>
      <w:bookmarkEnd w:id="242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|стандартизації;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43" w:name="o243"/>
      <w:bookmarkEnd w:id="243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|доопрацювання та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44" w:name="o244"/>
      <w:bookmarkEnd w:id="244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|внесення змін до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45" w:name="o245"/>
      <w:bookmarkEnd w:id="245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|національних   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46" w:name="o246"/>
      <w:bookmarkEnd w:id="246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|стандартів відповідно|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47" w:name="o247"/>
      <w:bookmarkEnd w:id="247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|до зазначеної  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48" w:name="o248"/>
      <w:bookmarkEnd w:id="248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|програми       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49" w:name="o249"/>
      <w:bookmarkEnd w:id="249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|---------------------+---------------------+--------------------|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50" w:name="o250"/>
      <w:bookmarkEnd w:id="250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|9. Призначення       |Мінпромполітики      |   2009-2011 роки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51" w:name="o251"/>
      <w:bookmarkEnd w:id="251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|органів з оцінки     |Держспоживстандарт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52" w:name="o252"/>
      <w:bookmarkEnd w:id="252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|відповідності  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53" w:name="o253"/>
      <w:bookmarkEnd w:id="253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|обладнання та  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54" w:name="o254"/>
      <w:bookmarkEnd w:id="254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|захисних систем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55" w:name="o255"/>
      <w:bookmarkEnd w:id="255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|вимогам Технічного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56" w:name="o256"/>
      <w:bookmarkEnd w:id="256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|регламенту     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57" w:name="o257"/>
      <w:bookmarkEnd w:id="257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|---------------------+---------------------+--------------------|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58" w:name="o258"/>
      <w:bookmarkEnd w:id="258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|10. Підготовка у разі|Мінпромполітики      |      2011 рік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59" w:name="o259"/>
      <w:bookmarkEnd w:id="259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|потреби та подання   |Держгірпромнагляд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60" w:name="o260"/>
      <w:bookmarkEnd w:id="260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|Кабінетові Міністрів |Держспоживстандарт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61" w:name="o261"/>
      <w:bookmarkEnd w:id="261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|України пропозицій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62" w:name="o262"/>
      <w:bookmarkEnd w:id="262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|щодо внесення змін до|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63" w:name="o263"/>
      <w:bookmarkEnd w:id="263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|Технічного регламенту|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64" w:name="o264"/>
      <w:bookmarkEnd w:id="264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|за результатами його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65" w:name="o265"/>
      <w:bookmarkEnd w:id="265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|добровільного  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66" w:name="o266"/>
      <w:bookmarkEnd w:id="266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|застосування   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67" w:name="o267"/>
      <w:bookmarkEnd w:id="267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|підприємствами 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68" w:name="o268"/>
      <w:bookmarkEnd w:id="268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lastRenderedPageBreak/>
        <w:t>|---------------------+---------------------+--------------------|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69" w:name="o269"/>
      <w:bookmarkEnd w:id="269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|11. Здійснення       |         -"-         |    починаючи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70" w:name="o270"/>
      <w:bookmarkEnd w:id="270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|контролю за          |                     |    з 2012 року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71" w:name="o271"/>
      <w:bookmarkEnd w:id="271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|обов'язковим   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72" w:name="o272"/>
      <w:bookmarkEnd w:id="272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|застосуванням та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73" w:name="o273"/>
      <w:bookmarkEnd w:id="273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|дотриманням         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74" w:name="o274"/>
      <w:bookmarkEnd w:id="274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|підприємствами вимог 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75" w:name="o275"/>
      <w:bookmarkEnd w:id="275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>|Технічного регламенту|                     |                    |</w:t>
      </w:r>
    </w:p>
    <w:p w:rsidR="00F9348F" w:rsidRPr="00F9348F" w:rsidRDefault="00F9348F" w:rsidP="00F9348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</w:pPr>
      <w:bookmarkStart w:id="276" w:name="o276"/>
      <w:bookmarkEnd w:id="276"/>
      <w:r w:rsidRPr="00F9348F">
        <w:rPr>
          <w:rFonts w:ascii="Courier New" w:eastAsia="Times New Roman" w:hAnsi="Courier New" w:cs="Courier New"/>
          <w:color w:val="000000"/>
          <w:sz w:val="21"/>
          <w:szCs w:val="21"/>
          <w:lang w:val="uk-UA" w:eastAsia="ru-RU"/>
        </w:rPr>
        <w:t xml:space="preserve">------------------------------------------------------------------ </w:t>
      </w:r>
    </w:p>
    <w:p w:rsidR="003F211B" w:rsidRPr="00F9348F" w:rsidRDefault="003F211B">
      <w:pPr>
        <w:rPr>
          <w:lang w:val="uk-UA"/>
        </w:rPr>
      </w:pPr>
    </w:p>
    <w:sectPr w:rsidR="003F211B" w:rsidRPr="00F9348F" w:rsidSect="00F9348F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2FA"/>
    <w:rsid w:val="003F211B"/>
    <w:rsid w:val="005312FA"/>
    <w:rsid w:val="00F9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4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34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43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2.rada.gov.ua/laws/show/2408-14" TargetMode="External"/><Relationship Id="rId13" Type="http://schemas.openxmlformats.org/officeDocument/2006/relationships/hyperlink" Target="http://zakon2.rada.gov.ua/laws/show/59-2007-%D0%B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2.rada.gov.ua/laws/show/3164-15" TargetMode="External"/><Relationship Id="rId12" Type="http://schemas.openxmlformats.org/officeDocument/2006/relationships/hyperlink" Target="http://zakon2.rada.gov.ua/laws/show/1585-2003-%D0%BF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zakon2.rada.gov.ua/laws/show/632-2013-%D0%BF" TargetMode="External"/><Relationship Id="rId11" Type="http://schemas.openxmlformats.org/officeDocument/2006/relationships/hyperlink" Target="http://zakon2.rada.gov.ua/laws/show/2406-14" TargetMode="External"/><Relationship Id="rId5" Type="http://schemas.openxmlformats.org/officeDocument/2006/relationships/image" Target="media/image1.gif"/><Relationship Id="rId15" Type="http://schemas.openxmlformats.org/officeDocument/2006/relationships/hyperlink" Target="http://zakon2.rada.gov.ua/laws/show/1599-2001-%D0%BF" TargetMode="External"/><Relationship Id="rId10" Type="http://schemas.openxmlformats.org/officeDocument/2006/relationships/hyperlink" Target="http://zakon2.rada.gov.ua/laws/show/3164-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2.rada.gov.ua/laws/show/2407-14" TargetMode="External"/><Relationship Id="rId14" Type="http://schemas.openxmlformats.org/officeDocument/2006/relationships/hyperlink" Target="http://zakon2.rada.gov.ua/laws/show/632-2013-%D0%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5897</Words>
  <Characters>33618</Characters>
  <Application>Microsoft Office Word</Application>
  <DocSecurity>0</DocSecurity>
  <Lines>280</Lines>
  <Paragraphs>78</Paragraphs>
  <ScaleCrop>false</ScaleCrop>
  <Company>SPecialiST RePack</Company>
  <LinksUpToDate>false</LinksUpToDate>
  <CharactersWithSpaces>39437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Антоненко</dc:creator>
  <cp:keywords/>
  <dc:description/>
  <cp:lastModifiedBy>Антоненко</cp:lastModifiedBy>
  <cp:revision>2</cp:revision>
  <dcterms:created xsi:type="dcterms:W3CDTF">2015-09-01T10:04:00Z</dcterms:created>
  <dcterms:modified xsi:type="dcterms:W3CDTF">2015-09-01T10:08:00Z</dcterms:modified>
</cp:coreProperties>
</file>